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4273" w14:textId="443B0CEA" w:rsidR="00F55BFD" w:rsidRDefault="00F55BFD" w:rsidP="00F55BFD">
      <w:pPr>
        <w:pStyle w:val="Uvuenotijeloteksta"/>
        <w:ind w:firstLine="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NACRT PRIJEDLOGA</w:t>
      </w:r>
    </w:p>
    <w:p w14:paraId="163C8F9E" w14:textId="77777777" w:rsidR="00F55BFD" w:rsidRDefault="00F55BFD" w:rsidP="00DF68C8">
      <w:pPr>
        <w:pStyle w:val="Uvuenotijeloteksta"/>
        <w:rPr>
          <w:rFonts w:ascii="Garamond" w:hAnsi="Garamond"/>
          <w:szCs w:val="24"/>
        </w:rPr>
      </w:pPr>
    </w:p>
    <w:p w14:paraId="44224399" w14:textId="2D1134B9" w:rsidR="00DF68C8" w:rsidRPr="00F66FB8" w:rsidRDefault="00E80A12" w:rsidP="00DF68C8">
      <w:pPr>
        <w:pStyle w:val="Uvuenotijeloteksta"/>
        <w:rPr>
          <w:rFonts w:ascii="Garamond" w:hAnsi="Garamond"/>
          <w:szCs w:val="24"/>
        </w:rPr>
      </w:pPr>
      <w:r w:rsidRPr="00F66FB8">
        <w:rPr>
          <w:rFonts w:ascii="Garamond" w:hAnsi="Garamond"/>
          <w:szCs w:val="24"/>
        </w:rPr>
        <w:t>Temeljem člank</w:t>
      </w:r>
      <w:r w:rsidR="003C222C" w:rsidRPr="00F66FB8">
        <w:rPr>
          <w:rFonts w:ascii="Garamond" w:hAnsi="Garamond"/>
          <w:szCs w:val="24"/>
        </w:rPr>
        <w:t>a 19.a</w:t>
      </w:r>
      <w:r w:rsidRPr="00F66FB8">
        <w:rPr>
          <w:rFonts w:ascii="Garamond" w:hAnsi="Garamond"/>
          <w:szCs w:val="24"/>
        </w:rPr>
        <w:t xml:space="preserve">  Zakona o porezu na dohodak (Narodne novine</w:t>
      </w:r>
      <w:r w:rsidR="00A1434F" w:rsidRPr="00F66FB8">
        <w:rPr>
          <w:rFonts w:ascii="Garamond" w:hAnsi="Garamond"/>
          <w:szCs w:val="24"/>
        </w:rPr>
        <w:t xml:space="preserve"> </w:t>
      </w:r>
      <w:r w:rsidRPr="00F66FB8">
        <w:rPr>
          <w:rFonts w:ascii="Garamond" w:hAnsi="Garamond"/>
          <w:szCs w:val="24"/>
        </w:rPr>
        <w:t xml:space="preserve">broj </w:t>
      </w:r>
      <w:r w:rsidR="003C222C" w:rsidRPr="00F66FB8">
        <w:rPr>
          <w:rFonts w:ascii="Garamond" w:hAnsi="Garamond"/>
          <w:szCs w:val="24"/>
        </w:rPr>
        <w:t>115/16, 106/18, 121/19, 32/20, 138/20, 151/22</w:t>
      </w:r>
      <w:r w:rsidR="00C41676">
        <w:rPr>
          <w:rFonts w:ascii="Garamond" w:hAnsi="Garamond"/>
          <w:szCs w:val="24"/>
        </w:rPr>
        <w:t>,</w:t>
      </w:r>
      <w:r w:rsidR="003C222C" w:rsidRPr="00F66FB8">
        <w:rPr>
          <w:rFonts w:ascii="Garamond" w:hAnsi="Garamond"/>
          <w:szCs w:val="24"/>
        </w:rPr>
        <w:t xml:space="preserve"> </w:t>
      </w:r>
      <w:r w:rsidRPr="00F66FB8">
        <w:rPr>
          <w:rFonts w:ascii="Garamond" w:hAnsi="Garamond"/>
          <w:szCs w:val="24"/>
        </w:rPr>
        <w:t>114/23</w:t>
      </w:r>
      <w:r w:rsidR="00C41676">
        <w:rPr>
          <w:rFonts w:ascii="Garamond" w:hAnsi="Garamond"/>
          <w:szCs w:val="24"/>
        </w:rPr>
        <w:t xml:space="preserve"> i 152/24</w:t>
      </w:r>
      <w:r w:rsidRPr="00F66FB8">
        <w:rPr>
          <w:rFonts w:ascii="Garamond" w:hAnsi="Garamond"/>
          <w:szCs w:val="24"/>
        </w:rPr>
        <w:t>)</w:t>
      </w:r>
      <w:r w:rsidR="006279CD" w:rsidRPr="00F66FB8">
        <w:rPr>
          <w:rFonts w:ascii="Garamond" w:hAnsi="Garamond"/>
          <w:szCs w:val="24"/>
        </w:rPr>
        <w:t xml:space="preserve"> </w:t>
      </w:r>
      <w:r w:rsidRPr="00F66FB8">
        <w:rPr>
          <w:rFonts w:ascii="Garamond" w:hAnsi="Garamond"/>
          <w:szCs w:val="24"/>
        </w:rPr>
        <w:t>i članka 3</w:t>
      </w:r>
      <w:r w:rsidR="00F66FB8" w:rsidRPr="00F66FB8">
        <w:rPr>
          <w:rFonts w:ascii="Garamond" w:hAnsi="Garamond"/>
          <w:szCs w:val="24"/>
        </w:rPr>
        <w:t>2</w:t>
      </w:r>
      <w:r w:rsidRPr="00F66FB8">
        <w:rPr>
          <w:rFonts w:ascii="Garamond" w:hAnsi="Garamond"/>
          <w:szCs w:val="24"/>
        </w:rPr>
        <w:t xml:space="preserve">. Statuta </w:t>
      </w:r>
      <w:r w:rsidR="00F66FB8" w:rsidRPr="00F66FB8">
        <w:rPr>
          <w:rFonts w:ascii="Garamond" w:hAnsi="Garamond"/>
          <w:szCs w:val="24"/>
        </w:rPr>
        <w:t>Općine Sv. Lovreč</w:t>
      </w:r>
      <w:r w:rsidRPr="00F66FB8">
        <w:rPr>
          <w:rFonts w:ascii="Garamond" w:hAnsi="Garamond"/>
          <w:szCs w:val="24"/>
        </w:rPr>
        <w:t xml:space="preserve"> </w:t>
      </w:r>
      <w:bookmarkStart w:id="0" w:name="_Hlk150235607"/>
      <w:bookmarkStart w:id="1" w:name="_Hlk189662812"/>
      <w:r w:rsidR="00F66FB8" w:rsidRPr="00F66FB8">
        <w:rPr>
          <w:rFonts w:ascii="Garamond" w:hAnsi="Garamond"/>
          <w:szCs w:val="24"/>
        </w:rPr>
        <w:t>(«Službene novine Istarske županije br. 7/09, "Službene novine Općine Sv. Lovreč" br. 2/13, 4/13- pročišćeni tekst, 4/14 i 1/21</w:t>
      </w:r>
      <w:bookmarkEnd w:id="0"/>
      <w:r w:rsidRPr="00F66FB8">
        <w:rPr>
          <w:rFonts w:ascii="Garamond" w:hAnsi="Garamond"/>
          <w:szCs w:val="24"/>
        </w:rPr>
        <w:t>)</w:t>
      </w:r>
      <w:bookmarkEnd w:id="1"/>
      <w:r w:rsidRPr="00F66FB8">
        <w:rPr>
          <w:rFonts w:ascii="Garamond" w:hAnsi="Garamond"/>
          <w:szCs w:val="24"/>
        </w:rPr>
        <w:t xml:space="preserve">, </w:t>
      </w:r>
      <w:r w:rsidR="00F66FB8" w:rsidRPr="00F66FB8">
        <w:rPr>
          <w:rFonts w:ascii="Garamond" w:hAnsi="Garamond"/>
          <w:szCs w:val="24"/>
        </w:rPr>
        <w:t>Općinsko</w:t>
      </w:r>
      <w:r w:rsidRPr="00F66FB8">
        <w:rPr>
          <w:rFonts w:ascii="Garamond" w:hAnsi="Garamond"/>
          <w:szCs w:val="24"/>
        </w:rPr>
        <w:t xml:space="preserve"> vijeće </w:t>
      </w:r>
      <w:r w:rsidR="00F66FB8" w:rsidRPr="00F66FB8">
        <w:rPr>
          <w:rFonts w:ascii="Garamond" w:hAnsi="Garamond"/>
          <w:szCs w:val="24"/>
        </w:rPr>
        <w:t>Općine Sv. Lovreč</w:t>
      </w:r>
      <w:r w:rsidRPr="00F66FB8">
        <w:rPr>
          <w:rFonts w:ascii="Garamond" w:hAnsi="Garamond"/>
          <w:szCs w:val="24"/>
        </w:rPr>
        <w:t xml:space="preserve"> na sjednici održanoj dana </w:t>
      </w:r>
      <w:r w:rsidR="00C41676">
        <w:rPr>
          <w:rFonts w:ascii="Garamond" w:hAnsi="Garamond"/>
          <w:szCs w:val="24"/>
        </w:rPr>
        <w:t xml:space="preserve">24. veljače </w:t>
      </w:r>
      <w:r w:rsidR="00F66FB8">
        <w:rPr>
          <w:rFonts w:ascii="Garamond" w:hAnsi="Garamond"/>
          <w:szCs w:val="24"/>
        </w:rPr>
        <w:t>202</w:t>
      </w:r>
      <w:r w:rsidR="00C41676">
        <w:rPr>
          <w:rFonts w:ascii="Garamond" w:hAnsi="Garamond"/>
          <w:szCs w:val="24"/>
        </w:rPr>
        <w:t>5</w:t>
      </w:r>
      <w:r w:rsidR="00F66FB8">
        <w:rPr>
          <w:rFonts w:ascii="Garamond" w:hAnsi="Garamond"/>
          <w:szCs w:val="24"/>
        </w:rPr>
        <w:t>.</w:t>
      </w:r>
      <w:r w:rsidRPr="00F66FB8">
        <w:rPr>
          <w:rFonts w:ascii="Garamond" w:hAnsi="Garamond"/>
          <w:szCs w:val="24"/>
        </w:rPr>
        <w:t xml:space="preserve"> godine donosi</w:t>
      </w:r>
    </w:p>
    <w:p w14:paraId="7188278F" w14:textId="77777777" w:rsidR="00DF68C8" w:rsidRPr="00F66FB8" w:rsidRDefault="00DF68C8" w:rsidP="00DF68C8">
      <w:pPr>
        <w:pStyle w:val="Uvuenotijeloteksta"/>
        <w:rPr>
          <w:rFonts w:ascii="Garamond" w:hAnsi="Garamond"/>
          <w:szCs w:val="24"/>
        </w:rPr>
      </w:pPr>
    </w:p>
    <w:p w14:paraId="123F8FA9" w14:textId="77777777" w:rsidR="007F0211" w:rsidRPr="00F66FB8" w:rsidRDefault="007F0211" w:rsidP="00DF68C8">
      <w:pPr>
        <w:pStyle w:val="Uvuenotijeloteksta"/>
        <w:rPr>
          <w:rFonts w:ascii="Garamond" w:hAnsi="Garamond"/>
          <w:szCs w:val="24"/>
        </w:rPr>
      </w:pPr>
    </w:p>
    <w:p w14:paraId="5EC5A3FD" w14:textId="77777777" w:rsidR="007F0211" w:rsidRPr="00F66FB8" w:rsidRDefault="00E80A12" w:rsidP="007F0211">
      <w:pPr>
        <w:shd w:val="clear" w:color="auto" w:fill="FFFFFF"/>
        <w:jc w:val="center"/>
        <w:rPr>
          <w:rFonts w:ascii="Garamond" w:hAnsi="Garamond"/>
          <w:b/>
          <w:bCs/>
        </w:rPr>
      </w:pPr>
      <w:r w:rsidRPr="00F66FB8">
        <w:rPr>
          <w:rFonts w:ascii="Garamond" w:hAnsi="Garamond"/>
          <w:b/>
          <w:bCs/>
        </w:rPr>
        <w:t>O D L U K U</w:t>
      </w:r>
    </w:p>
    <w:p w14:paraId="5F310BD5" w14:textId="77777777" w:rsidR="007F0211" w:rsidRPr="00F66FB8" w:rsidRDefault="00E80A12" w:rsidP="007F0211">
      <w:pPr>
        <w:shd w:val="clear" w:color="auto" w:fill="FFFFFF"/>
        <w:jc w:val="center"/>
        <w:rPr>
          <w:rFonts w:ascii="Garamond" w:hAnsi="Garamond"/>
          <w:b/>
          <w:bCs/>
        </w:rPr>
      </w:pPr>
      <w:r w:rsidRPr="00F66FB8">
        <w:rPr>
          <w:rFonts w:ascii="Garamond" w:hAnsi="Garamond"/>
          <w:b/>
          <w:bCs/>
        </w:rPr>
        <w:t xml:space="preserve">o visini poreznih stopa godišnjeg poreza na dohodak </w:t>
      </w:r>
    </w:p>
    <w:p w14:paraId="1AFC6C73" w14:textId="0EA523A7" w:rsidR="00DF68C8" w:rsidRPr="00F66FB8" w:rsidRDefault="00E80A12" w:rsidP="007F0211">
      <w:pPr>
        <w:shd w:val="clear" w:color="auto" w:fill="FFFFFF"/>
        <w:jc w:val="center"/>
        <w:rPr>
          <w:rFonts w:ascii="Garamond" w:hAnsi="Garamond"/>
          <w:b/>
        </w:rPr>
      </w:pPr>
      <w:r w:rsidRPr="00F66FB8">
        <w:rPr>
          <w:rFonts w:ascii="Garamond" w:hAnsi="Garamond"/>
          <w:b/>
          <w:bCs/>
        </w:rPr>
        <w:t xml:space="preserve">na području </w:t>
      </w:r>
      <w:bookmarkStart w:id="2" w:name="_Hlk148532756"/>
      <w:r w:rsidR="00F66FB8" w:rsidRPr="00F66FB8">
        <w:rPr>
          <w:rFonts w:ascii="Garamond" w:hAnsi="Garamond"/>
          <w:b/>
          <w:bCs/>
        </w:rPr>
        <w:t>Općine Sv. Lovreč</w:t>
      </w:r>
      <w:bookmarkEnd w:id="2"/>
    </w:p>
    <w:p w14:paraId="60D93BE3" w14:textId="77777777" w:rsidR="00DF68C8" w:rsidRPr="00F66FB8" w:rsidRDefault="00DF68C8" w:rsidP="00DF68C8">
      <w:pPr>
        <w:pStyle w:val="Naslov5"/>
        <w:rPr>
          <w:rFonts w:ascii="Garamond" w:hAnsi="Garamond"/>
          <w:szCs w:val="24"/>
        </w:rPr>
      </w:pPr>
    </w:p>
    <w:p w14:paraId="2427E2D1" w14:textId="77777777" w:rsidR="007F0211" w:rsidRPr="00F66FB8" w:rsidRDefault="007F0211" w:rsidP="007F0211">
      <w:pPr>
        <w:rPr>
          <w:rFonts w:ascii="Garamond" w:hAnsi="Garamond"/>
        </w:rPr>
      </w:pPr>
    </w:p>
    <w:p w14:paraId="08DB5194" w14:textId="77777777" w:rsidR="00DF68C8" w:rsidRPr="00F66FB8" w:rsidRDefault="00E80A12" w:rsidP="00DF68C8">
      <w:pPr>
        <w:jc w:val="center"/>
        <w:rPr>
          <w:rFonts w:ascii="Garamond" w:hAnsi="Garamond"/>
          <w:b/>
        </w:rPr>
      </w:pPr>
      <w:r w:rsidRPr="00F66FB8">
        <w:rPr>
          <w:rFonts w:ascii="Garamond" w:hAnsi="Garamond"/>
          <w:b/>
        </w:rPr>
        <w:t>Članak 1.</w:t>
      </w:r>
    </w:p>
    <w:p w14:paraId="72F668E2" w14:textId="77777777" w:rsidR="00DF68C8" w:rsidRPr="00F66FB8" w:rsidRDefault="00DF68C8" w:rsidP="00DF68C8">
      <w:pPr>
        <w:pStyle w:val="Uvuenotijeloteksta"/>
        <w:rPr>
          <w:rFonts w:ascii="Garamond" w:hAnsi="Garamond"/>
          <w:szCs w:val="24"/>
        </w:rPr>
      </w:pPr>
    </w:p>
    <w:p w14:paraId="7BEE2FEF" w14:textId="452D7847" w:rsidR="007F0211" w:rsidRPr="00F66FB8" w:rsidRDefault="00E80A12" w:rsidP="007F0211">
      <w:pPr>
        <w:spacing w:line="240" w:lineRule="exact"/>
        <w:ind w:firstLine="708"/>
        <w:jc w:val="both"/>
        <w:rPr>
          <w:rFonts w:ascii="Garamond" w:hAnsi="Garamond"/>
          <w:shd w:val="clear" w:color="auto" w:fill="FFFFFF"/>
        </w:rPr>
      </w:pPr>
      <w:r w:rsidRPr="00F66FB8">
        <w:rPr>
          <w:rFonts w:ascii="Garamond" w:hAnsi="Garamond"/>
          <w:shd w:val="clear" w:color="auto" w:fill="FFFFFF"/>
        </w:rPr>
        <w:t xml:space="preserve">Ovom Odlukom utvrđuje se visina poreznih stopa godišnjeg poreza na dohodak za porezne obveznike na području </w:t>
      </w:r>
      <w:r w:rsidR="00F66FB8" w:rsidRPr="00F66FB8">
        <w:rPr>
          <w:rFonts w:ascii="Garamond" w:hAnsi="Garamond"/>
          <w:shd w:val="clear" w:color="auto" w:fill="FFFFFF"/>
        </w:rPr>
        <w:t>Općine Sv. Lovreč</w:t>
      </w:r>
      <w:r w:rsidRPr="00F66FB8">
        <w:rPr>
          <w:rFonts w:ascii="Garamond" w:hAnsi="Garamond"/>
          <w:shd w:val="clear" w:color="auto" w:fill="FFFFFF"/>
        </w:rPr>
        <w:t>.</w:t>
      </w:r>
    </w:p>
    <w:p w14:paraId="7BB1E0BA" w14:textId="77777777" w:rsidR="007F0211" w:rsidRPr="00F66FB8" w:rsidRDefault="007F0211" w:rsidP="007F0211">
      <w:pPr>
        <w:shd w:val="clear" w:color="auto" w:fill="FFFFFF"/>
        <w:jc w:val="center"/>
        <w:rPr>
          <w:rFonts w:ascii="Garamond" w:hAnsi="Garamond"/>
          <w:b/>
          <w:bCs/>
          <w:bdr w:val="none" w:sz="0" w:space="0" w:color="auto" w:frame="1"/>
        </w:rPr>
      </w:pPr>
    </w:p>
    <w:p w14:paraId="720737FA" w14:textId="77777777" w:rsidR="007F0211" w:rsidRPr="00F66FB8" w:rsidRDefault="00E80A12" w:rsidP="007F0211">
      <w:pPr>
        <w:shd w:val="clear" w:color="auto" w:fill="FFFFFF"/>
        <w:jc w:val="center"/>
        <w:rPr>
          <w:rFonts w:ascii="Garamond" w:hAnsi="Garamond"/>
          <w:b/>
          <w:bCs/>
          <w:bdr w:val="none" w:sz="0" w:space="0" w:color="auto" w:frame="1"/>
        </w:rPr>
      </w:pPr>
      <w:r w:rsidRPr="00F66FB8">
        <w:rPr>
          <w:rFonts w:ascii="Garamond" w:hAnsi="Garamond"/>
          <w:b/>
          <w:bCs/>
          <w:bdr w:val="none" w:sz="0" w:space="0" w:color="auto" w:frame="1"/>
        </w:rPr>
        <w:t>Članak 2.</w:t>
      </w:r>
    </w:p>
    <w:p w14:paraId="19FB6E21" w14:textId="77777777" w:rsidR="007F0211" w:rsidRPr="00F66FB8" w:rsidRDefault="007F0211" w:rsidP="007F0211">
      <w:pPr>
        <w:shd w:val="clear" w:color="auto" w:fill="FFFFFF"/>
        <w:jc w:val="center"/>
        <w:rPr>
          <w:rFonts w:ascii="Garamond" w:hAnsi="Garamond"/>
          <w:b/>
          <w:bCs/>
          <w:bdr w:val="none" w:sz="0" w:space="0" w:color="auto" w:frame="1"/>
        </w:rPr>
      </w:pPr>
    </w:p>
    <w:p w14:paraId="5DBCA8A6" w14:textId="77777777" w:rsidR="007F0211" w:rsidRPr="00F66FB8" w:rsidRDefault="00E80A12" w:rsidP="007F0211">
      <w:pPr>
        <w:shd w:val="clear" w:color="auto" w:fill="FFFFFF"/>
        <w:spacing w:line="240" w:lineRule="exact"/>
        <w:jc w:val="both"/>
        <w:rPr>
          <w:rFonts w:ascii="Garamond" w:hAnsi="Garamond"/>
          <w:bCs/>
          <w:bdr w:val="none" w:sz="0" w:space="0" w:color="auto" w:frame="1"/>
        </w:rPr>
      </w:pPr>
      <w:r w:rsidRPr="00F66FB8">
        <w:rPr>
          <w:rFonts w:ascii="Garamond" w:hAnsi="Garamond"/>
          <w:b/>
          <w:bCs/>
          <w:bdr w:val="none" w:sz="0" w:space="0" w:color="auto" w:frame="1"/>
        </w:rPr>
        <w:tab/>
      </w:r>
      <w:r w:rsidRPr="00F66FB8">
        <w:rPr>
          <w:rFonts w:ascii="Garamond" w:hAnsi="Garamond"/>
          <w:bCs/>
          <w:bdr w:val="none" w:sz="0" w:space="0" w:color="auto" w:frame="1"/>
        </w:rPr>
        <w:t>Porezne stope iz članka 1. ove Odluke utvrđuju se kako slijedi:</w:t>
      </w:r>
    </w:p>
    <w:p w14:paraId="299EDF25" w14:textId="1D51C30B" w:rsidR="007F0211" w:rsidRPr="00F66FB8" w:rsidRDefault="00E80A12" w:rsidP="007F0211">
      <w:pPr>
        <w:numPr>
          <w:ilvl w:val="0"/>
          <w:numId w:val="3"/>
        </w:numPr>
        <w:rPr>
          <w:rFonts w:ascii="Garamond" w:hAnsi="Garamond"/>
        </w:rPr>
      </w:pPr>
      <w:r w:rsidRPr="00F66FB8">
        <w:rPr>
          <w:rFonts w:ascii="Garamond" w:hAnsi="Garamond"/>
          <w:bCs/>
          <w:bdr w:val="none" w:sz="0" w:space="0" w:color="auto" w:frame="1"/>
        </w:rPr>
        <w:t xml:space="preserve">niža porezna stopa </w:t>
      </w:r>
      <w:r w:rsidRPr="00F55BFD">
        <w:rPr>
          <w:rFonts w:ascii="Garamond" w:hAnsi="Garamond"/>
        </w:rPr>
        <w:t>2</w:t>
      </w:r>
      <w:r w:rsidR="00F55BFD" w:rsidRPr="00F55BFD">
        <w:rPr>
          <w:rFonts w:ascii="Garamond" w:hAnsi="Garamond"/>
        </w:rPr>
        <w:t>0</w:t>
      </w:r>
      <w:r w:rsidRPr="00F55BFD">
        <w:rPr>
          <w:rFonts w:ascii="Garamond" w:hAnsi="Garamond"/>
        </w:rPr>
        <w:t>%</w:t>
      </w:r>
      <w:r w:rsidRPr="00F66FB8">
        <w:rPr>
          <w:rFonts w:ascii="Garamond" w:hAnsi="Garamond"/>
        </w:rPr>
        <w:t>,</w:t>
      </w:r>
    </w:p>
    <w:p w14:paraId="4EE34510" w14:textId="1E964BD3" w:rsidR="007F0211" w:rsidRPr="00F66FB8" w:rsidRDefault="00E80A12" w:rsidP="007F0211">
      <w:pPr>
        <w:numPr>
          <w:ilvl w:val="0"/>
          <w:numId w:val="3"/>
        </w:numPr>
        <w:rPr>
          <w:rFonts w:ascii="Garamond" w:hAnsi="Garamond"/>
        </w:rPr>
      </w:pPr>
      <w:r w:rsidRPr="00F66FB8">
        <w:rPr>
          <w:rFonts w:ascii="Garamond" w:hAnsi="Garamond"/>
        </w:rPr>
        <w:t xml:space="preserve">viša porezna stopa </w:t>
      </w:r>
      <w:r w:rsidRPr="00F55BFD">
        <w:rPr>
          <w:rFonts w:ascii="Garamond" w:hAnsi="Garamond"/>
        </w:rPr>
        <w:t>3</w:t>
      </w:r>
      <w:r w:rsidR="00FF0258">
        <w:rPr>
          <w:rFonts w:ascii="Garamond" w:hAnsi="Garamond"/>
        </w:rPr>
        <w:t>0</w:t>
      </w:r>
      <w:r w:rsidRPr="00F66FB8">
        <w:rPr>
          <w:rFonts w:ascii="Garamond" w:hAnsi="Garamond"/>
        </w:rPr>
        <w:t>%.</w:t>
      </w:r>
    </w:p>
    <w:p w14:paraId="7FDD609C" w14:textId="77777777" w:rsidR="007F0211" w:rsidRPr="00F66FB8" w:rsidRDefault="007F0211" w:rsidP="007F0211">
      <w:pPr>
        <w:shd w:val="clear" w:color="auto" w:fill="FFFFFF"/>
        <w:spacing w:line="240" w:lineRule="exact"/>
        <w:ind w:firstLine="720"/>
        <w:jc w:val="both"/>
        <w:rPr>
          <w:rFonts w:ascii="Garamond" w:hAnsi="Garamond"/>
          <w:bCs/>
          <w:bdr w:val="none" w:sz="0" w:space="0" w:color="auto" w:frame="1"/>
        </w:rPr>
      </w:pPr>
    </w:p>
    <w:p w14:paraId="6AD02CCB" w14:textId="77777777" w:rsidR="007F0211" w:rsidRPr="00F66FB8" w:rsidRDefault="00E80A12" w:rsidP="007F0211">
      <w:pPr>
        <w:jc w:val="center"/>
        <w:rPr>
          <w:rFonts w:ascii="Garamond" w:hAnsi="Garamond"/>
          <w:b/>
          <w:shd w:val="clear" w:color="auto" w:fill="FFFFFF"/>
        </w:rPr>
      </w:pPr>
      <w:r w:rsidRPr="00F66FB8">
        <w:rPr>
          <w:rFonts w:ascii="Garamond" w:hAnsi="Garamond"/>
          <w:b/>
          <w:shd w:val="clear" w:color="auto" w:fill="FFFFFF"/>
        </w:rPr>
        <w:t xml:space="preserve">Članak 3. </w:t>
      </w:r>
    </w:p>
    <w:p w14:paraId="4F5345C8" w14:textId="77777777" w:rsidR="007F0211" w:rsidRPr="00F66FB8" w:rsidRDefault="007F0211" w:rsidP="007F0211">
      <w:pPr>
        <w:jc w:val="center"/>
        <w:rPr>
          <w:rFonts w:ascii="Garamond" w:hAnsi="Garamond"/>
          <w:b/>
          <w:shd w:val="clear" w:color="auto" w:fill="FFFFFF"/>
        </w:rPr>
      </w:pPr>
    </w:p>
    <w:p w14:paraId="48A8E1FF" w14:textId="12EAB821" w:rsidR="007F0211" w:rsidRPr="00F66FB8" w:rsidRDefault="00E80A12" w:rsidP="007F0211">
      <w:pPr>
        <w:spacing w:line="240" w:lineRule="exact"/>
        <w:ind w:firstLine="709"/>
        <w:jc w:val="both"/>
        <w:rPr>
          <w:rFonts w:ascii="Garamond" w:hAnsi="Garamond"/>
          <w:shd w:val="clear" w:color="auto" w:fill="FFFFFF"/>
        </w:rPr>
      </w:pPr>
      <w:r w:rsidRPr="00F66FB8">
        <w:rPr>
          <w:rFonts w:ascii="Garamond" w:hAnsi="Garamond"/>
          <w:shd w:val="clear" w:color="auto" w:fill="FFFFFF"/>
        </w:rPr>
        <w:t xml:space="preserve">Ova Odluka objavit će se u </w:t>
      </w:r>
      <w:r w:rsidR="00F55BFD">
        <w:rPr>
          <w:rFonts w:ascii="Garamond" w:hAnsi="Garamond"/>
          <w:shd w:val="clear" w:color="auto" w:fill="FFFFFF"/>
        </w:rPr>
        <w:t>„</w:t>
      </w:r>
      <w:r w:rsidRPr="00F66FB8">
        <w:rPr>
          <w:rFonts w:ascii="Garamond" w:hAnsi="Garamond"/>
          <w:shd w:val="clear" w:color="auto" w:fill="FFFFFF"/>
        </w:rPr>
        <w:t>Narodnim novinama</w:t>
      </w:r>
      <w:r w:rsidR="00F55BFD">
        <w:rPr>
          <w:rFonts w:ascii="Garamond" w:hAnsi="Garamond"/>
          <w:shd w:val="clear" w:color="auto" w:fill="FFFFFF"/>
        </w:rPr>
        <w:t>“</w:t>
      </w:r>
      <w:r w:rsidRPr="00F66FB8">
        <w:rPr>
          <w:rFonts w:ascii="Garamond" w:hAnsi="Garamond"/>
          <w:shd w:val="clear" w:color="auto" w:fill="FFFFFF"/>
        </w:rPr>
        <w:t xml:space="preserve"> i </w:t>
      </w:r>
      <w:r w:rsidR="00F55BFD">
        <w:rPr>
          <w:rFonts w:ascii="Garamond" w:hAnsi="Garamond"/>
          <w:shd w:val="clear" w:color="auto" w:fill="FFFFFF"/>
        </w:rPr>
        <w:t>„</w:t>
      </w:r>
      <w:r w:rsidRPr="00F66FB8">
        <w:rPr>
          <w:rFonts w:ascii="Garamond" w:hAnsi="Garamond"/>
        </w:rPr>
        <w:t>Službenim novinama</w:t>
      </w:r>
      <w:r w:rsidR="00F66FB8" w:rsidRPr="00F66FB8">
        <w:rPr>
          <w:rFonts w:ascii="Garamond" w:hAnsi="Garamond"/>
        </w:rPr>
        <w:t xml:space="preserve"> Općine Sv. Lovreč</w:t>
      </w:r>
      <w:r w:rsidR="00F55BFD">
        <w:rPr>
          <w:rFonts w:ascii="Garamond" w:hAnsi="Garamond"/>
        </w:rPr>
        <w:t>“</w:t>
      </w:r>
      <w:r w:rsidRPr="00F66FB8">
        <w:rPr>
          <w:rFonts w:ascii="Garamond" w:hAnsi="Garamond"/>
          <w:shd w:val="clear" w:color="auto" w:fill="FFFFFF"/>
        </w:rPr>
        <w:t xml:space="preserve">, a stupa na snagu 1. </w:t>
      </w:r>
      <w:r w:rsidR="001A49C7">
        <w:rPr>
          <w:rFonts w:ascii="Garamond" w:hAnsi="Garamond"/>
          <w:shd w:val="clear" w:color="auto" w:fill="FFFFFF"/>
        </w:rPr>
        <w:t>ožujak</w:t>
      </w:r>
      <w:r w:rsidRPr="00F66FB8">
        <w:rPr>
          <w:rFonts w:ascii="Garamond" w:hAnsi="Garamond"/>
          <w:shd w:val="clear" w:color="auto" w:fill="FFFFFF"/>
        </w:rPr>
        <w:t xml:space="preserve"> 202</w:t>
      </w:r>
      <w:r w:rsidR="00872BC1">
        <w:rPr>
          <w:rFonts w:ascii="Garamond" w:hAnsi="Garamond"/>
          <w:shd w:val="clear" w:color="auto" w:fill="FFFFFF"/>
        </w:rPr>
        <w:t>5</w:t>
      </w:r>
      <w:r w:rsidRPr="00F66FB8">
        <w:rPr>
          <w:rFonts w:ascii="Garamond" w:hAnsi="Garamond"/>
          <w:shd w:val="clear" w:color="auto" w:fill="FFFFFF"/>
        </w:rPr>
        <w:t>. godine.</w:t>
      </w:r>
    </w:p>
    <w:p w14:paraId="551C14E8" w14:textId="77777777" w:rsidR="00DF68C8" w:rsidRPr="00F66FB8" w:rsidRDefault="00DF68C8" w:rsidP="00DF68C8">
      <w:pPr>
        <w:jc w:val="center"/>
        <w:rPr>
          <w:rFonts w:ascii="Garamond" w:hAnsi="Garamond"/>
          <w:b/>
        </w:rPr>
      </w:pPr>
    </w:p>
    <w:p w14:paraId="066FEB43" w14:textId="77777777" w:rsidR="00DF68C8" w:rsidRPr="00F66FB8" w:rsidRDefault="00DF68C8" w:rsidP="00DF68C8">
      <w:pPr>
        <w:pStyle w:val="Tijeloteksta2"/>
        <w:rPr>
          <w:rFonts w:ascii="Garamond" w:hAnsi="Garamond"/>
          <w:szCs w:val="24"/>
        </w:rPr>
      </w:pPr>
    </w:p>
    <w:p w14:paraId="0EA1133A" w14:textId="77777777" w:rsidR="00DF68C8" w:rsidRPr="00F66FB8" w:rsidRDefault="00DF68C8" w:rsidP="00DF68C8">
      <w:pPr>
        <w:rPr>
          <w:rFonts w:ascii="Garamond" w:hAnsi="Garamond"/>
        </w:rPr>
      </w:pPr>
    </w:p>
    <w:p w14:paraId="546B6027" w14:textId="030EE3F2" w:rsidR="00DF68C8" w:rsidRPr="00F66FB8" w:rsidRDefault="00E80A12" w:rsidP="00DF68C8">
      <w:pPr>
        <w:rPr>
          <w:rFonts w:ascii="Garamond" w:hAnsi="Garamond"/>
        </w:rPr>
      </w:pPr>
      <w:r w:rsidRPr="00F66FB8">
        <w:rPr>
          <w:rFonts w:ascii="Garamond" w:hAnsi="Garamond"/>
        </w:rPr>
        <w:t>KLASA:</w:t>
      </w:r>
      <w:r w:rsidRPr="00F66FB8">
        <w:rPr>
          <w:rFonts w:ascii="Garamond" w:hAnsi="Garamond"/>
        </w:rPr>
        <w:tab/>
      </w:r>
    </w:p>
    <w:p w14:paraId="365487F8" w14:textId="13BC0A77" w:rsidR="00DF68C8" w:rsidRPr="00F66FB8" w:rsidRDefault="00E80A12" w:rsidP="00DF68C8">
      <w:pPr>
        <w:rPr>
          <w:rFonts w:ascii="Garamond" w:hAnsi="Garamond"/>
        </w:rPr>
      </w:pPr>
      <w:r w:rsidRPr="00F66FB8">
        <w:rPr>
          <w:rFonts w:ascii="Garamond" w:hAnsi="Garamond"/>
        </w:rPr>
        <w:t xml:space="preserve">URBROJ: </w:t>
      </w:r>
    </w:p>
    <w:p w14:paraId="63F0F9BA" w14:textId="67A7DA0B" w:rsidR="00DF68C8" w:rsidRPr="00F66FB8" w:rsidRDefault="00F66FB8" w:rsidP="00DF68C8">
      <w:pPr>
        <w:rPr>
          <w:rFonts w:ascii="Garamond" w:hAnsi="Garamond"/>
        </w:rPr>
      </w:pPr>
      <w:r w:rsidRPr="00F66FB8">
        <w:rPr>
          <w:rFonts w:ascii="Garamond" w:hAnsi="Garamond"/>
        </w:rPr>
        <w:t xml:space="preserve">Sv. Lovreč </w:t>
      </w:r>
      <w:proofErr w:type="spellStart"/>
      <w:r w:rsidRPr="00F66FB8">
        <w:rPr>
          <w:rFonts w:ascii="Garamond" w:hAnsi="Garamond"/>
        </w:rPr>
        <w:t>Pazenatički</w:t>
      </w:r>
      <w:proofErr w:type="spellEnd"/>
      <w:r w:rsidR="00872BC1">
        <w:rPr>
          <w:rFonts w:ascii="Garamond" w:hAnsi="Garamond"/>
        </w:rPr>
        <w:t>, 24. veljače 2025.</w:t>
      </w:r>
    </w:p>
    <w:p w14:paraId="2EA93D19" w14:textId="77777777" w:rsidR="00DF68C8" w:rsidRPr="00F66FB8" w:rsidRDefault="00DF68C8" w:rsidP="00DF68C8">
      <w:pPr>
        <w:rPr>
          <w:rFonts w:ascii="Garamond" w:hAnsi="Garamond"/>
        </w:rPr>
      </w:pPr>
    </w:p>
    <w:p w14:paraId="2D99AA78" w14:textId="77777777" w:rsidR="00DF68C8" w:rsidRPr="00F66FB8" w:rsidRDefault="00DF68C8" w:rsidP="00DF68C8">
      <w:pPr>
        <w:pStyle w:val="Tijeloteksta2"/>
        <w:jc w:val="center"/>
        <w:rPr>
          <w:rFonts w:ascii="Garamond" w:hAnsi="Garamond"/>
          <w:b/>
          <w:szCs w:val="24"/>
        </w:rPr>
      </w:pPr>
    </w:p>
    <w:p w14:paraId="7B2D94E2" w14:textId="7E7D26FE" w:rsidR="00DF68C8" w:rsidRPr="00F66FB8" w:rsidRDefault="00F55BFD" w:rsidP="00DF68C8">
      <w:pPr>
        <w:pStyle w:val="Tijeloteksta2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OPĆINSK</w:t>
      </w:r>
      <w:r w:rsidR="00E80A12" w:rsidRPr="00F66FB8">
        <w:rPr>
          <w:rFonts w:ascii="Garamond" w:hAnsi="Garamond"/>
          <w:b/>
          <w:szCs w:val="24"/>
        </w:rPr>
        <w:t xml:space="preserve">O VIJEĆE </w:t>
      </w:r>
      <w:r w:rsidR="00F66FB8" w:rsidRPr="00F66FB8">
        <w:rPr>
          <w:rFonts w:ascii="Garamond" w:hAnsi="Garamond"/>
          <w:b/>
          <w:szCs w:val="24"/>
        </w:rPr>
        <w:t>OPĆINE SV. LOVREČ</w:t>
      </w:r>
    </w:p>
    <w:p w14:paraId="1EB59365" w14:textId="77777777" w:rsidR="00DF68C8" w:rsidRPr="00F66FB8" w:rsidRDefault="00DF68C8" w:rsidP="00DF68C8">
      <w:pPr>
        <w:pStyle w:val="Tijeloteksta2"/>
        <w:jc w:val="center"/>
        <w:rPr>
          <w:rFonts w:ascii="Garamond" w:hAnsi="Garamond"/>
          <w:b/>
          <w:szCs w:val="24"/>
        </w:rPr>
      </w:pPr>
    </w:p>
    <w:p w14:paraId="36E455BF" w14:textId="77777777" w:rsidR="00DF68C8" w:rsidRPr="00F66FB8" w:rsidRDefault="00DF68C8" w:rsidP="00DF68C8">
      <w:pPr>
        <w:pStyle w:val="Tijeloteksta2"/>
        <w:jc w:val="center"/>
        <w:rPr>
          <w:rFonts w:ascii="Garamond" w:hAnsi="Garamond"/>
          <w:b/>
          <w:szCs w:val="24"/>
        </w:rPr>
      </w:pPr>
    </w:p>
    <w:p w14:paraId="70BA41DF" w14:textId="19CAEAFE" w:rsidR="00DF68C8" w:rsidRPr="00F66FB8" w:rsidRDefault="00E80A12" w:rsidP="00DF68C8">
      <w:pPr>
        <w:pStyle w:val="Tijeloteksta2"/>
        <w:tabs>
          <w:tab w:val="center" w:pos="6804"/>
        </w:tabs>
        <w:rPr>
          <w:rFonts w:ascii="Garamond" w:hAnsi="Garamond"/>
          <w:b/>
          <w:szCs w:val="24"/>
        </w:rPr>
      </w:pPr>
      <w:r w:rsidRPr="00F66FB8">
        <w:rPr>
          <w:rFonts w:ascii="Garamond" w:hAnsi="Garamond"/>
          <w:b/>
          <w:szCs w:val="24"/>
        </w:rPr>
        <w:tab/>
        <w:t>PREDSJEDNICA</w:t>
      </w:r>
    </w:p>
    <w:p w14:paraId="73CF0315" w14:textId="0A2D061E" w:rsidR="007F0211" w:rsidRPr="00F66FB8" w:rsidRDefault="00E80A12" w:rsidP="00DF68C8">
      <w:pPr>
        <w:pStyle w:val="Tijeloteksta2"/>
        <w:tabs>
          <w:tab w:val="center" w:pos="6804"/>
          <w:tab w:val="center" w:pos="7371"/>
        </w:tabs>
        <w:rPr>
          <w:rFonts w:ascii="Garamond" w:hAnsi="Garamond"/>
          <w:b/>
          <w:szCs w:val="24"/>
        </w:rPr>
      </w:pPr>
      <w:r w:rsidRPr="00F66FB8">
        <w:rPr>
          <w:rFonts w:ascii="Garamond" w:hAnsi="Garamond"/>
          <w:szCs w:val="24"/>
        </w:rPr>
        <w:tab/>
      </w:r>
      <w:r w:rsidR="00F66FB8" w:rsidRPr="00F66FB8">
        <w:rPr>
          <w:rFonts w:ascii="Garamond" w:hAnsi="Garamond"/>
          <w:b/>
          <w:szCs w:val="24"/>
        </w:rPr>
        <w:t>Kristina Prekalj Diklić</w:t>
      </w:r>
    </w:p>
    <w:p w14:paraId="368B7187" w14:textId="525D5409" w:rsidR="007F0211" w:rsidRDefault="007F0211">
      <w:pPr>
        <w:spacing w:after="160" w:line="259" w:lineRule="auto"/>
        <w:rPr>
          <w:rFonts w:ascii="Garamond" w:hAnsi="Garamond"/>
          <w:b/>
          <w:noProof/>
        </w:rPr>
      </w:pPr>
    </w:p>
    <w:p w14:paraId="167E2F44" w14:textId="77777777" w:rsidR="00F55BFD" w:rsidRDefault="00F55BFD">
      <w:pPr>
        <w:spacing w:after="160" w:line="259" w:lineRule="auto"/>
        <w:rPr>
          <w:rFonts w:ascii="Garamond" w:hAnsi="Garamond"/>
          <w:b/>
          <w:noProof/>
        </w:rPr>
      </w:pPr>
    </w:p>
    <w:p w14:paraId="3E6C4A11" w14:textId="77777777" w:rsidR="00F55BFD" w:rsidRDefault="00F55BFD">
      <w:pPr>
        <w:spacing w:after="160" w:line="259" w:lineRule="auto"/>
        <w:rPr>
          <w:rFonts w:ascii="Garamond" w:hAnsi="Garamond"/>
          <w:b/>
          <w:noProof/>
        </w:rPr>
      </w:pPr>
    </w:p>
    <w:p w14:paraId="665A5424" w14:textId="77777777" w:rsidR="00F55BFD" w:rsidRDefault="00F55BFD">
      <w:pPr>
        <w:spacing w:after="160" w:line="259" w:lineRule="auto"/>
        <w:rPr>
          <w:rFonts w:ascii="Garamond" w:hAnsi="Garamond"/>
          <w:b/>
          <w:noProof/>
        </w:rPr>
      </w:pPr>
    </w:p>
    <w:p w14:paraId="18E96BA2" w14:textId="77777777" w:rsidR="001A49C7" w:rsidRPr="001A49C7" w:rsidRDefault="001A49C7" w:rsidP="001A49C7">
      <w:pPr>
        <w:jc w:val="center"/>
        <w:rPr>
          <w:rFonts w:ascii="Garamond" w:hAnsi="Garamond" w:cs="Arial"/>
          <w:b/>
          <w:sz w:val="22"/>
          <w:szCs w:val="22"/>
        </w:rPr>
      </w:pPr>
      <w:r w:rsidRPr="001A49C7">
        <w:rPr>
          <w:rFonts w:ascii="Garamond" w:hAnsi="Garamond" w:cs="Arial"/>
          <w:b/>
        </w:rPr>
        <w:lastRenderedPageBreak/>
        <w:t>O B R A Z L O Ž E NJ E</w:t>
      </w:r>
    </w:p>
    <w:p w14:paraId="4DD2F234" w14:textId="77777777" w:rsidR="001A49C7" w:rsidRPr="001A49C7" w:rsidRDefault="001A49C7" w:rsidP="001A49C7">
      <w:pPr>
        <w:jc w:val="center"/>
        <w:rPr>
          <w:rFonts w:ascii="Garamond" w:hAnsi="Garamond" w:cs="Arial"/>
          <w:b/>
        </w:rPr>
      </w:pPr>
    </w:p>
    <w:p w14:paraId="30A29241" w14:textId="77777777" w:rsidR="001A49C7" w:rsidRPr="001A49C7" w:rsidRDefault="001A49C7" w:rsidP="001A49C7">
      <w:pPr>
        <w:jc w:val="both"/>
        <w:rPr>
          <w:rFonts w:ascii="Garamond" w:hAnsi="Garamond"/>
        </w:rPr>
      </w:pPr>
      <w:r w:rsidRPr="001A49C7">
        <w:rPr>
          <w:rFonts w:ascii="Garamond" w:hAnsi="Garamond"/>
        </w:rPr>
        <w:t xml:space="preserve">Hrvatski sabor donio je na 4. sjednici 13. prosinca 2024. </w:t>
      </w:r>
      <w:bookmarkStart w:id="3" w:name="_Hlk186701338"/>
      <w:r w:rsidRPr="001A49C7">
        <w:rPr>
          <w:rFonts w:ascii="Garamond" w:hAnsi="Garamond"/>
        </w:rPr>
        <w:t xml:space="preserve">Zakon o izmjenama i dopunama Zakona o porezu na dohodak (Narodne novine 152/24) </w:t>
      </w:r>
      <w:bookmarkEnd w:id="3"/>
      <w:r w:rsidRPr="001A49C7">
        <w:rPr>
          <w:rFonts w:ascii="Garamond" w:hAnsi="Garamond"/>
        </w:rPr>
        <w:t>kojim je, između ostalog, propisano da su jedinice lokalne samouprave kod kojih su trenutno propisane stope poreza na dohodak izvan raspona stopa utvrđenih Zakonom, dužne donijeti novu odluku o visini stopa poreza na dohodak i objaviti je u Narodnim novinama najkasnije do 28. veljače 2025. Visine poreznih stopa utvrđene tom odlukom primijenit će se pri utvrđivanju predujma poreza na dohodak od nesamostalnog rada i drugog dohotka od 1. ožujka 2025., a u postupku godišnjeg obračuna poreza na dohodak za cijelo porezno razdoblje 2025. godine.</w:t>
      </w:r>
    </w:p>
    <w:p w14:paraId="67D18786" w14:textId="77777777" w:rsidR="001A49C7" w:rsidRPr="001A49C7" w:rsidRDefault="001A49C7" w:rsidP="001A49C7">
      <w:pPr>
        <w:rPr>
          <w:rFonts w:ascii="Garamond" w:hAnsi="Garamond" w:cs="Arial"/>
          <w:b/>
          <w:sz w:val="22"/>
          <w:szCs w:val="22"/>
        </w:rPr>
      </w:pPr>
    </w:p>
    <w:p w14:paraId="6C491D8F" w14:textId="3B957707" w:rsidR="001A49C7" w:rsidRPr="001A49C7" w:rsidRDefault="001A49C7" w:rsidP="001A49C7">
      <w:pPr>
        <w:jc w:val="both"/>
        <w:rPr>
          <w:rFonts w:ascii="Garamond" w:hAnsi="Garamond"/>
        </w:rPr>
      </w:pPr>
      <w:r w:rsidRPr="001A49C7">
        <w:rPr>
          <w:rFonts w:ascii="Garamond" w:hAnsi="Garamond"/>
        </w:rPr>
        <w:t>Stopa prireza porezu na dohodak utvrđena u visini od 5 % bila je u primjeni od 1. srpnja 1996. pa do 31. prosinca 2023. Od 1.1.2024. se formalno ukida prirez, no isti je zakonski bilo moguće nadomjestiti višim stopama poreza na dohodak. Općina Sv</w:t>
      </w:r>
      <w:r>
        <w:rPr>
          <w:rFonts w:ascii="Garamond" w:hAnsi="Garamond"/>
        </w:rPr>
        <w:t>. Lovreč</w:t>
      </w:r>
      <w:r w:rsidRPr="001A49C7">
        <w:rPr>
          <w:rFonts w:ascii="Garamond" w:hAnsi="Garamond"/>
        </w:rPr>
        <w:t xml:space="preserve"> je trenutno važećom Odlukom o visini poreznih stopa godišnjeg poreza na dohodak (Službene novine Općine Sv</w:t>
      </w:r>
      <w:r>
        <w:rPr>
          <w:rFonts w:ascii="Garamond" w:hAnsi="Garamond"/>
        </w:rPr>
        <w:t>. Lovreč</w:t>
      </w:r>
      <w:r w:rsidRPr="001A49C7">
        <w:rPr>
          <w:rFonts w:ascii="Garamond" w:hAnsi="Garamond"/>
        </w:rPr>
        <w:t xml:space="preserve"> br.</w:t>
      </w:r>
      <w:r>
        <w:rPr>
          <w:rFonts w:ascii="Garamond" w:hAnsi="Garamond"/>
        </w:rPr>
        <w:t xml:space="preserve"> 4</w:t>
      </w:r>
      <w:r w:rsidRPr="001A49C7">
        <w:rPr>
          <w:rFonts w:ascii="Garamond" w:hAnsi="Garamond"/>
        </w:rPr>
        <w:t xml:space="preserve">/23) utvrdio nižu poreznu stopu od 20 % na poreznu osnovicu do visine 50.400,00 eura te višu poreznu stopu od 33% na dio porezne osnovice koji prelazi iznos od 50.400,00 eura. </w:t>
      </w:r>
    </w:p>
    <w:p w14:paraId="4BFFD6C8" w14:textId="77777777" w:rsidR="001A49C7" w:rsidRPr="001A49C7" w:rsidRDefault="001A49C7" w:rsidP="001A49C7">
      <w:pPr>
        <w:rPr>
          <w:rFonts w:ascii="Garamond" w:hAnsi="Garamond" w:cs="Arial"/>
          <w:b/>
          <w:sz w:val="22"/>
          <w:szCs w:val="22"/>
        </w:rPr>
      </w:pPr>
    </w:p>
    <w:p w14:paraId="30DF9CC9" w14:textId="7A29A333" w:rsidR="001A49C7" w:rsidRPr="001A49C7" w:rsidRDefault="001A49C7" w:rsidP="001A49C7">
      <w:pPr>
        <w:jc w:val="both"/>
        <w:rPr>
          <w:rFonts w:ascii="Garamond" w:hAnsi="Garamond"/>
        </w:rPr>
      </w:pPr>
      <w:r w:rsidRPr="001A49C7">
        <w:rPr>
          <w:rFonts w:ascii="Garamond" w:hAnsi="Garamond"/>
        </w:rPr>
        <w:t xml:space="preserve">Novim Zakonom o izmjenama i dopunama Zakona o porezu na dohodak (Narodne novine 152/24), člankom 19.a, se gornja moguća granica za općine za nižu stopu poreza smanjuje s 22% na 20 %, dok se viša porezna stopa smanjuje sa 33 % na 30 %. </w:t>
      </w:r>
    </w:p>
    <w:p w14:paraId="0D8E949A" w14:textId="3C4FB799" w:rsidR="001A49C7" w:rsidRPr="001A49C7" w:rsidRDefault="001A49C7" w:rsidP="001A49C7">
      <w:pPr>
        <w:jc w:val="both"/>
        <w:rPr>
          <w:rFonts w:ascii="Garamond" w:hAnsi="Garamond"/>
        </w:rPr>
      </w:pPr>
      <w:r w:rsidRPr="001A49C7">
        <w:rPr>
          <w:rFonts w:ascii="Garamond" w:hAnsi="Garamond"/>
        </w:rPr>
        <w:t>Budući je Općina Sv</w:t>
      </w:r>
      <w:r>
        <w:rPr>
          <w:rFonts w:ascii="Garamond" w:hAnsi="Garamond"/>
        </w:rPr>
        <w:t>. Lovreč</w:t>
      </w:r>
      <w:r w:rsidRPr="001A49C7">
        <w:rPr>
          <w:rFonts w:ascii="Garamond" w:hAnsi="Garamond"/>
        </w:rPr>
        <w:t xml:space="preserve"> svojom trenutnom Odlukom o visini poreznih stopa izvan raspona stopa utvrđenih novim Zakonom, u obvezi je donijeti novu Odluku. Slijedom navedenog, a u skladu s odredbama Zakona, predlaže se da niža porezna stopa od 20 % na poreznu osnovicu do visine 60.000,00 eura ostane ista te smanjenje više porezne stope na 30 % na dio porezne osnovice koji prelazi iznos od 60.000,00 eura. </w:t>
      </w:r>
    </w:p>
    <w:p w14:paraId="31E799A9" w14:textId="77777777" w:rsidR="001A49C7" w:rsidRPr="001A49C7" w:rsidRDefault="001A49C7" w:rsidP="001A49C7">
      <w:pPr>
        <w:jc w:val="both"/>
        <w:rPr>
          <w:rFonts w:ascii="Garamond" w:hAnsi="Garamond"/>
        </w:rPr>
      </w:pPr>
      <w:r w:rsidRPr="001A49C7">
        <w:rPr>
          <w:rFonts w:ascii="Garamond" w:hAnsi="Garamond"/>
        </w:rPr>
        <w:t>Zaključno, porezno opterećenje će biti manje u 2025. u odnosu na 2024. po tri osnove: s osnove smanjenja više porezne stope 30 %, s osnove povećanja osnovnog osobnog odbitka, osobnog odbitka za uzdržavane članove, uzdržavanu djecu i invalidnost, kao i s osnove povećanja praga za primjenu više stope godišnjeg poreza na dohodak s 50.400,00 eura na 60.000,00 eura odnosno iznos mjesečne porezne osnovice s 4.200,00 eura na 5.000,00 eura.</w:t>
      </w:r>
    </w:p>
    <w:p w14:paraId="1CFEA756" w14:textId="77777777" w:rsidR="001A49C7" w:rsidRPr="001A49C7" w:rsidRDefault="001A49C7" w:rsidP="001A49C7">
      <w:pPr>
        <w:jc w:val="both"/>
        <w:rPr>
          <w:rFonts w:ascii="Garamond" w:hAnsi="Garamond"/>
        </w:rPr>
      </w:pPr>
    </w:p>
    <w:p w14:paraId="706657E5" w14:textId="77777777" w:rsidR="001A49C7" w:rsidRPr="001A49C7" w:rsidRDefault="001A49C7" w:rsidP="001A49C7">
      <w:pPr>
        <w:rPr>
          <w:rFonts w:ascii="Garamond" w:hAnsi="Garamond" w:cs="Arial"/>
          <w:b/>
          <w:sz w:val="22"/>
          <w:szCs w:val="22"/>
        </w:rPr>
      </w:pPr>
      <w:r w:rsidRPr="001A49C7">
        <w:rPr>
          <w:rFonts w:ascii="Garamond" w:hAnsi="Garamond"/>
        </w:rPr>
        <w:t>Na temelju spomenutog predlaže se donošenje ove Odluke.</w:t>
      </w:r>
    </w:p>
    <w:p w14:paraId="2146DB3D" w14:textId="77777777" w:rsidR="001A49C7" w:rsidRPr="001A49C7" w:rsidRDefault="001A49C7" w:rsidP="001A49C7">
      <w:pPr>
        <w:rPr>
          <w:rFonts w:ascii="Garamond" w:hAnsi="Garamond" w:cs="Arial"/>
          <w:b/>
        </w:rPr>
      </w:pPr>
    </w:p>
    <w:p w14:paraId="36556E21" w14:textId="77777777" w:rsidR="001A49C7" w:rsidRPr="001A49C7" w:rsidRDefault="001A49C7" w:rsidP="001A49C7">
      <w:pPr>
        <w:rPr>
          <w:rFonts w:ascii="Garamond" w:hAnsi="Garamond" w:cs="Arial"/>
          <w:b/>
        </w:rPr>
      </w:pPr>
    </w:p>
    <w:p w14:paraId="066EBFF5" w14:textId="77777777" w:rsidR="001A49C7" w:rsidRPr="001A49C7" w:rsidRDefault="001A49C7" w:rsidP="001A49C7">
      <w:pPr>
        <w:widowControl w:val="0"/>
        <w:numPr>
          <w:ilvl w:val="0"/>
          <w:numId w:val="7"/>
        </w:numPr>
        <w:spacing w:after="160"/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hAnsi="Garamond" w:cs="Arial"/>
          <w:b/>
        </w:rPr>
        <w:t>ZAKONSKA OSNOVA ZA DONOŠENJE ODLUKE</w:t>
      </w:r>
    </w:p>
    <w:p w14:paraId="61C6D6EB" w14:textId="77777777" w:rsidR="001A49C7" w:rsidRPr="001A49C7" w:rsidRDefault="001A49C7" w:rsidP="001A49C7">
      <w:pPr>
        <w:rPr>
          <w:rFonts w:ascii="Garamond" w:hAnsi="Garamond" w:cs="Arial"/>
          <w:b/>
        </w:rPr>
      </w:pPr>
    </w:p>
    <w:p w14:paraId="242FE910" w14:textId="77777777" w:rsidR="001A49C7" w:rsidRPr="001A49C7" w:rsidRDefault="001A49C7" w:rsidP="001A49C7">
      <w:pPr>
        <w:widowControl w:val="0"/>
        <w:numPr>
          <w:ilvl w:val="0"/>
          <w:numId w:val="8"/>
        </w:numPr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hAnsi="Garamond" w:cs="Arial"/>
        </w:rPr>
        <w:t>Zakon o porezu na dohodak</w:t>
      </w:r>
      <w:r w:rsidRPr="001A49C7">
        <w:rPr>
          <w:rFonts w:ascii="Garamond" w:hAnsi="Garamond" w:cs="Arial"/>
          <w:bCs/>
        </w:rPr>
        <w:t xml:space="preserve"> </w:t>
      </w:r>
      <w:r w:rsidRPr="001A49C7">
        <w:rPr>
          <w:rFonts w:ascii="Garamond" w:hAnsi="Garamond" w:cs="Arial"/>
        </w:rPr>
        <w:t>(</w:t>
      </w:r>
      <w:r w:rsidRPr="001A49C7">
        <w:rPr>
          <w:rFonts w:ascii="Garamond" w:eastAsia="Calibri" w:hAnsi="Garamond" w:cs="Arial"/>
        </w:rPr>
        <w:t>. 115/16, 106/18, 121/19, 32/20, 138/20, 151/22 , 114/23, 152/24</w:t>
      </w:r>
      <w:r w:rsidRPr="001A49C7">
        <w:rPr>
          <w:rFonts w:ascii="Garamond" w:hAnsi="Garamond" w:cs="Arial"/>
        </w:rPr>
        <w:t>),</w:t>
      </w:r>
    </w:p>
    <w:p w14:paraId="4F87D08D" w14:textId="04802182" w:rsidR="001A49C7" w:rsidRPr="001A49C7" w:rsidRDefault="001A49C7" w:rsidP="00B955D9">
      <w:pPr>
        <w:widowControl w:val="0"/>
        <w:numPr>
          <w:ilvl w:val="0"/>
          <w:numId w:val="8"/>
        </w:numPr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eastAsia="Calibri" w:hAnsi="Garamond" w:cs="Arial"/>
        </w:rPr>
        <w:t>Statut Općine Sv</w:t>
      </w:r>
      <w:r w:rsidRPr="001A49C7">
        <w:rPr>
          <w:rFonts w:ascii="Garamond" w:eastAsia="Calibri" w:hAnsi="Garamond" w:cs="Arial"/>
        </w:rPr>
        <w:t>. Lovreč</w:t>
      </w:r>
      <w:r w:rsidRPr="001A49C7">
        <w:rPr>
          <w:rFonts w:ascii="Garamond" w:eastAsia="Calibri" w:hAnsi="Garamond" w:cs="Arial"/>
        </w:rPr>
        <w:t xml:space="preserve"> </w:t>
      </w:r>
      <w:r w:rsidRPr="00F66FB8">
        <w:rPr>
          <w:rFonts w:ascii="Garamond" w:hAnsi="Garamond"/>
        </w:rPr>
        <w:t>(«Službene novine Istarske županije br. 7/09, "Službene novine Općine Sv. Lovreč" br. 2/13, 4/13- pročišćeni tekst, 4/14 i 1/21)</w:t>
      </w:r>
    </w:p>
    <w:p w14:paraId="7C197044" w14:textId="77777777" w:rsidR="001A49C7" w:rsidRPr="001A49C7" w:rsidRDefault="001A49C7" w:rsidP="001A49C7">
      <w:pPr>
        <w:widowControl w:val="0"/>
        <w:ind w:left="360"/>
        <w:contextualSpacing/>
        <w:jc w:val="both"/>
        <w:rPr>
          <w:rFonts w:ascii="Garamond" w:hAnsi="Garamond" w:cs="Arial"/>
          <w:b/>
        </w:rPr>
      </w:pPr>
    </w:p>
    <w:p w14:paraId="28588D9C" w14:textId="77777777" w:rsidR="001A49C7" w:rsidRPr="001A49C7" w:rsidRDefault="001A49C7" w:rsidP="001A49C7">
      <w:pPr>
        <w:widowControl w:val="0"/>
        <w:numPr>
          <w:ilvl w:val="0"/>
          <w:numId w:val="7"/>
        </w:numPr>
        <w:spacing w:after="160"/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hAnsi="Garamond" w:cs="Arial"/>
          <w:b/>
        </w:rPr>
        <w:t xml:space="preserve">OSNOVNA PITANJA KOJA SE UREĐUJU ODLUKOM </w:t>
      </w:r>
    </w:p>
    <w:p w14:paraId="683D7216" w14:textId="77777777" w:rsidR="001A49C7" w:rsidRPr="001A49C7" w:rsidRDefault="001A49C7" w:rsidP="001A49C7">
      <w:pPr>
        <w:rPr>
          <w:rFonts w:ascii="Garamond" w:hAnsi="Garamond" w:cs="Arial"/>
        </w:rPr>
      </w:pPr>
      <w:r w:rsidRPr="001A49C7">
        <w:rPr>
          <w:rFonts w:ascii="Garamond" w:hAnsi="Garamond" w:cs="Arial"/>
        </w:rPr>
        <w:t xml:space="preserve">             </w:t>
      </w:r>
    </w:p>
    <w:p w14:paraId="184E9CB9" w14:textId="375317E3" w:rsidR="001A49C7" w:rsidRPr="001A49C7" w:rsidRDefault="001A49C7" w:rsidP="001A49C7">
      <w:pPr>
        <w:widowControl w:val="0"/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hAnsi="Garamond" w:cs="Arial"/>
        </w:rPr>
        <w:t xml:space="preserve">            Odlukom o visini poreznih stopa godišnjeg poreza na dohodak kao izvora financiranja Općine Sv</w:t>
      </w:r>
      <w:r>
        <w:rPr>
          <w:rFonts w:ascii="Garamond" w:hAnsi="Garamond" w:cs="Arial"/>
        </w:rPr>
        <w:t>. Lovreč</w:t>
      </w:r>
      <w:r w:rsidRPr="001A49C7">
        <w:rPr>
          <w:rFonts w:ascii="Garamond" w:hAnsi="Garamond" w:cs="Arial"/>
        </w:rPr>
        <w:t xml:space="preserve"> utvrđuju se niža i viša porezna stopa u skladu sa Zakonom o porezu na dohodak.</w:t>
      </w:r>
    </w:p>
    <w:p w14:paraId="1ADF19CF" w14:textId="77777777" w:rsidR="001A49C7" w:rsidRPr="001A49C7" w:rsidRDefault="001A49C7" w:rsidP="001A49C7">
      <w:pPr>
        <w:tabs>
          <w:tab w:val="left" w:pos="426"/>
          <w:tab w:val="left" w:pos="709"/>
        </w:tabs>
        <w:ind w:left="720" w:right="-88"/>
        <w:jc w:val="both"/>
        <w:rPr>
          <w:rFonts w:ascii="Garamond" w:hAnsi="Garamond" w:cs="Arial"/>
        </w:rPr>
      </w:pPr>
    </w:p>
    <w:p w14:paraId="7BEDE14E" w14:textId="77777777" w:rsidR="001A49C7" w:rsidRPr="001A49C7" w:rsidRDefault="001A49C7" w:rsidP="001A49C7">
      <w:pPr>
        <w:tabs>
          <w:tab w:val="left" w:pos="426"/>
          <w:tab w:val="left" w:pos="709"/>
        </w:tabs>
        <w:ind w:right="-88"/>
        <w:jc w:val="both"/>
        <w:rPr>
          <w:rFonts w:ascii="Garamond" w:hAnsi="Garamond" w:cs="Arial"/>
        </w:rPr>
      </w:pPr>
    </w:p>
    <w:p w14:paraId="6FE955A2" w14:textId="77777777" w:rsidR="001A49C7" w:rsidRPr="001A49C7" w:rsidRDefault="001A49C7" w:rsidP="001A49C7">
      <w:pPr>
        <w:widowControl w:val="0"/>
        <w:numPr>
          <w:ilvl w:val="0"/>
          <w:numId w:val="7"/>
        </w:numPr>
        <w:tabs>
          <w:tab w:val="center" w:pos="7770"/>
        </w:tabs>
        <w:autoSpaceDE w:val="0"/>
        <w:autoSpaceDN w:val="0"/>
        <w:adjustRightInd w:val="0"/>
        <w:ind w:right="-88"/>
        <w:contextualSpacing/>
        <w:jc w:val="both"/>
        <w:rPr>
          <w:rFonts w:ascii="Garamond" w:hAnsi="Garamond" w:cs="Arial"/>
          <w:b/>
        </w:rPr>
      </w:pPr>
      <w:r w:rsidRPr="001A49C7">
        <w:rPr>
          <w:rFonts w:ascii="Garamond" w:hAnsi="Garamond" w:cs="Arial"/>
          <w:b/>
        </w:rPr>
        <w:t>FINANCIJSKI UČINCI PROVEDBE ODLUKE</w:t>
      </w:r>
    </w:p>
    <w:p w14:paraId="6587220F" w14:textId="77777777" w:rsidR="001A49C7" w:rsidRPr="001A49C7" w:rsidRDefault="001A49C7" w:rsidP="001A49C7">
      <w:pPr>
        <w:widowControl w:val="0"/>
        <w:tabs>
          <w:tab w:val="center" w:pos="7770"/>
        </w:tabs>
        <w:autoSpaceDE w:val="0"/>
        <w:autoSpaceDN w:val="0"/>
        <w:adjustRightInd w:val="0"/>
        <w:ind w:left="720" w:right="-88"/>
        <w:contextualSpacing/>
        <w:jc w:val="both"/>
        <w:rPr>
          <w:rFonts w:ascii="Garamond" w:hAnsi="Garamond" w:cs="Arial"/>
          <w:b/>
        </w:rPr>
      </w:pPr>
    </w:p>
    <w:p w14:paraId="0C327D2F" w14:textId="77777777" w:rsidR="001A49C7" w:rsidRPr="001A49C7" w:rsidRDefault="001A49C7" w:rsidP="001A49C7">
      <w:pPr>
        <w:widowControl w:val="0"/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ind w:left="720" w:right="-88"/>
        <w:contextualSpacing/>
        <w:jc w:val="both"/>
        <w:rPr>
          <w:rFonts w:ascii="Garamond" w:hAnsi="Garamond" w:cs="Arial"/>
        </w:rPr>
      </w:pPr>
      <w:r w:rsidRPr="001A49C7">
        <w:rPr>
          <w:rFonts w:ascii="Garamond" w:hAnsi="Garamond" w:cs="Arial"/>
        </w:rPr>
        <w:t>Za realizaciju ove odluke nisu potrebna financijska sredstva.</w:t>
      </w:r>
    </w:p>
    <w:p w14:paraId="07F91E7D" w14:textId="77777777" w:rsidR="001A49C7" w:rsidRDefault="001A49C7" w:rsidP="001A49C7">
      <w:pPr>
        <w:widowControl w:val="0"/>
        <w:tabs>
          <w:tab w:val="left" w:pos="284"/>
          <w:tab w:val="left" w:pos="851"/>
          <w:tab w:val="center" w:pos="7770"/>
        </w:tabs>
        <w:autoSpaceDE w:val="0"/>
        <w:autoSpaceDN w:val="0"/>
        <w:adjustRightInd w:val="0"/>
        <w:ind w:left="720" w:right="-88"/>
        <w:contextualSpacing/>
        <w:jc w:val="both"/>
        <w:rPr>
          <w:rFonts w:ascii="Arial" w:hAnsi="Arial" w:cs="Arial"/>
        </w:rPr>
      </w:pPr>
    </w:p>
    <w:sectPr w:rsidR="001A49C7" w:rsidSect="001A49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5ED"/>
    <w:multiLevelType w:val="hybridMultilevel"/>
    <w:tmpl w:val="1BF27588"/>
    <w:lvl w:ilvl="0" w:tplc="67CA1E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151E8"/>
    <w:multiLevelType w:val="hybridMultilevel"/>
    <w:tmpl w:val="AB22C480"/>
    <w:lvl w:ilvl="0" w:tplc="CC6E3C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1EE4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6D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9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4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9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09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4D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4B0"/>
    <w:multiLevelType w:val="hybridMultilevel"/>
    <w:tmpl w:val="F97A4246"/>
    <w:lvl w:ilvl="0" w:tplc="89F4CD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F40F7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381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107F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66C4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2A34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1EEA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32F6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9050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64B9D"/>
    <w:multiLevelType w:val="hybridMultilevel"/>
    <w:tmpl w:val="479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0550"/>
    <w:multiLevelType w:val="hybridMultilevel"/>
    <w:tmpl w:val="BF883F62"/>
    <w:lvl w:ilvl="0" w:tplc="49A81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52E0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9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2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4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A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06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1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86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BFF"/>
    <w:multiLevelType w:val="hybridMultilevel"/>
    <w:tmpl w:val="443077E8"/>
    <w:lvl w:ilvl="0" w:tplc="FC503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1E87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8E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C8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B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2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06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AD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99473">
    <w:abstractNumId w:val="5"/>
  </w:num>
  <w:num w:numId="2" w16cid:durableId="306861479">
    <w:abstractNumId w:val="4"/>
  </w:num>
  <w:num w:numId="3" w16cid:durableId="959455264">
    <w:abstractNumId w:val="2"/>
  </w:num>
  <w:num w:numId="4" w16cid:durableId="602224371">
    <w:abstractNumId w:val="1"/>
  </w:num>
  <w:num w:numId="5" w16cid:durableId="1481727521">
    <w:abstractNumId w:val="3"/>
  </w:num>
  <w:num w:numId="6" w16cid:durableId="2141415491">
    <w:abstractNumId w:val="0"/>
  </w:num>
  <w:num w:numId="7" w16cid:durableId="2144233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8391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8"/>
    <w:rsid w:val="000279A6"/>
    <w:rsid w:val="001479A5"/>
    <w:rsid w:val="0016295A"/>
    <w:rsid w:val="001A49C7"/>
    <w:rsid w:val="00227403"/>
    <w:rsid w:val="0023765E"/>
    <w:rsid w:val="002758E4"/>
    <w:rsid w:val="00377269"/>
    <w:rsid w:val="00385AEA"/>
    <w:rsid w:val="003C222C"/>
    <w:rsid w:val="004E2ADA"/>
    <w:rsid w:val="00526214"/>
    <w:rsid w:val="006279CD"/>
    <w:rsid w:val="006923E7"/>
    <w:rsid w:val="006A5B42"/>
    <w:rsid w:val="006B4B99"/>
    <w:rsid w:val="00706BE5"/>
    <w:rsid w:val="00720BA0"/>
    <w:rsid w:val="00747049"/>
    <w:rsid w:val="00797392"/>
    <w:rsid w:val="007F0211"/>
    <w:rsid w:val="00826E43"/>
    <w:rsid w:val="00872BC1"/>
    <w:rsid w:val="008D183C"/>
    <w:rsid w:val="008F4E84"/>
    <w:rsid w:val="00940F3D"/>
    <w:rsid w:val="009B3861"/>
    <w:rsid w:val="00A1434F"/>
    <w:rsid w:val="00A77CAF"/>
    <w:rsid w:val="00AA5E9F"/>
    <w:rsid w:val="00AD1049"/>
    <w:rsid w:val="00AD19B7"/>
    <w:rsid w:val="00AE1801"/>
    <w:rsid w:val="00BA46C0"/>
    <w:rsid w:val="00BC7F12"/>
    <w:rsid w:val="00BD4A58"/>
    <w:rsid w:val="00BD6030"/>
    <w:rsid w:val="00C128A2"/>
    <w:rsid w:val="00C41676"/>
    <w:rsid w:val="00C65308"/>
    <w:rsid w:val="00CA4AF1"/>
    <w:rsid w:val="00D74416"/>
    <w:rsid w:val="00DF5A2E"/>
    <w:rsid w:val="00DF68C8"/>
    <w:rsid w:val="00E21AAA"/>
    <w:rsid w:val="00E22ED0"/>
    <w:rsid w:val="00E758E8"/>
    <w:rsid w:val="00E80A12"/>
    <w:rsid w:val="00E960E6"/>
    <w:rsid w:val="00F55BFD"/>
    <w:rsid w:val="00F66FB8"/>
    <w:rsid w:val="00FA5870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755B"/>
  <w15:chartTrackingRefBased/>
  <w15:docId w15:val="{1D96D320-2BB1-4134-A303-8278101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Naslov5">
    <w:name w:val="heading 5"/>
    <w:basedOn w:val="Normal"/>
    <w:next w:val="Normal"/>
    <w:link w:val="Naslov5Char"/>
    <w:uiPriority w:val="99"/>
    <w:qFormat/>
    <w:rsid w:val="00DF68C8"/>
    <w:pPr>
      <w:keepNext/>
      <w:ind w:firstLine="720"/>
      <w:outlineLvl w:val="4"/>
    </w:pPr>
    <w:rPr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9"/>
    <w:rsid w:val="00DF68C8"/>
    <w:rPr>
      <w:rFonts w:ascii="Times New Roman" w:eastAsia="Times New Roman" w:hAnsi="Times New Roman" w:cs="Times New Roman"/>
      <w:i/>
      <w:sz w:val="24"/>
      <w:szCs w:val="20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semiHidden/>
    <w:rsid w:val="00DF68C8"/>
    <w:pPr>
      <w:ind w:firstLine="720"/>
      <w:jc w:val="both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DF68C8"/>
    <w:rPr>
      <w:rFonts w:ascii="Times New Roman" w:eastAsia="Times New Roman" w:hAnsi="Times New Roman" w:cs="Times New Roman"/>
      <w:sz w:val="24"/>
      <w:szCs w:val="20"/>
      <w:lang w:eastAsia="hr-HR"/>
      <w14:ligatures w14:val="none"/>
    </w:rPr>
  </w:style>
  <w:style w:type="paragraph" w:styleId="Tijeloteksta2">
    <w:name w:val="Body Text 2"/>
    <w:basedOn w:val="Normal"/>
    <w:link w:val="Tijeloteksta2Char"/>
    <w:semiHidden/>
    <w:rsid w:val="00DF68C8"/>
    <w:rPr>
      <w:noProof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DF68C8"/>
    <w:rPr>
      <w:rFonts w:ascii="Times New Roman" w:eastAsia="Times New Roman" w:hAnsi="Times New Roman" w:cs="Times New Roman"/>
      <w:noProof/>
      <w:sz w:val="24"/>
      <w:szCs w:val="20"/>
      <w:lang w:eastAsia="hr-HR"/>
      <w14:ligatures w14:val="none"/>
    </w:rPr>
  </w:style>
  <w:style w:type="paragraph" w:customStyle="1" w:styleId="Default">
    <w:name w:val="Default"/>
    <w:rsid w:val="007F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7F02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zadanifontodlomka-000011">
    <w:name w:val="pt-zadanifontodlomka-000011"/>
    <w:rsid w:val="007F0211"/>
  </w:style>
  <w:style w:type="paragraph" w:customStyle="1" w:styleId="pt-normal-000077">
    <w:name w:val="pt-normal-000077"/>
    <w:basedOn w:val="Normal"/>
    <w:rsid w:val="007F02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Batelić</dc:creator>
  <cp:lastModifiedBy>Pročelnik</cp:lastModifiedBy>
  <cp:revision>2</cp:revision>
  <dcterms:created xsi:type="dcterms:W3CDTF">2025-02-05T14:50:00Z</dcterms:created>
  <dcterms:modified xsi:type="dcterms:W3CDTF">2025-02-05T14:50:00Z</dcterms:modified>
</cp:coreProperties>
</file>